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4D" w:rsidRPr="00750580" w:rsidRDefault="00750580" w:rsidP="005B6B4D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50580">
        <w:rPr>
          <w:rFonts w:cs="Arial"/>
          <w:b/>
          <w:sz w:val="28"/>
          <w:szCs w:val="28"/>
        </w:rPr>
        <w:t>DRS COMMUNICATIONS FEDERAL FISCAL YEAR 2019 REPORT</w:t>
      </w:r>
    </w:p>
    <w:p w:rsidR="005B6B4D" w:rsidRPr="00750580" w:rsidRDefault="00750580" w:rsidP="005B6B4D">
      <w:pPr>
        <w:jc w:val="center"/>
        <w:rPr>
          <w:rFonts w:cs="Arial"/>
          <w:b/>
          <w:sz w:val="28"/>
          <w:szCs w:val="28"/>
        </w:rPr>
      </w:pPr>
      <w:r w:rsidRPr="00750580">
        <w:rPr>
          <w:rFonts w:cs="Arial"/>
          <w:b/>
          <w:sz w:val="28"/>
          <w:szCs w:val="28"/>
        </w:rPr>
        <w:t>10/01/18-09/30/19</w:t>
      </w:r>
    </w:p>
    <w:p w:rsidR="005B6B4D" w:rsidRPr="0011348F" w:rsidRDefault="005B6B4D" w:rsidP="005B6B4D">
      <w:pPr>
        <w:rPr>
          <w:rFonts w:cs="Arial"/>
          <w:szCs w:val="24"/>
        </w:rPr>
      </w:pPr>
    </w:p>
    <w:p w:rsidR="005B6B4D" w:rsidRDefault="005B6B4D" w:rsidP="005B6B4D">
      <w:pPr>
        <w:rPr>
          <w:rFonts w:cs="Arial"/>
        </w:rPr>
      </w:pPr>
      <w:r>
        <w:rPr>
          <w:rFonts w:cs="Arial"/>
        </w:rPr>
        <w:t>The DRS Communicat</w:t>
      </w:r>
      <w:r w:rsidR="009E0562">
        <w:rPr>
          <w:rFonts w:cs="Arial"/>
        </w:rPr>
        <w:t>i</w:t>
      </w:r>
      <w:r>
        <w:rPr>
          <w:rFonts w:cs="Arial"/>
        </w:rPr>
        <w:t xml:space="preserve">ons Office </w:t>
      </w:r>
      <w:r w:rsidR="009E0562">
        <w:rPr>
          <w:rFonts w:cs="Arial"/>
        </w:rPr>
        <w:t>team includes</w:t>
      </w:r>
      <w:r>
        <w:rPr>
          <w:rFonts w:cs="Arial"/>
        </w:rPr>
        <w:t xml:space="preserve"> Customer Service Representative Brett Freeman, Communications Director Jody Harlan, Communications Officer III Brett Jones, Administrative Assistant Cathy Martin and Communications Manager II Dana Tallon</w:t>
      </w:r>
      <w:r w:rsidR="009E0562">
        <w:rPr>
          <w:rFonts w:cs="Arial"/>
        </w:rPr>
        <w:t>.</w:t>
      </w:r>
    </w:p>
    <w:p w:rsidR="009E0562" w:rsidRDefault="009E0562" w:rsidP="005B6B4D">
      <w:pPr>
        <w:rPr>
          <w:rFonts w:cs="Arial"/>
        </w:rPr>
      </w:pPr>
    </w:p>
    <w:p w:rsidR="009E0562" w:rsidRDefault="009E0562" w:rsidP="009E0562">
      <w:pPr>
        <w:keepNext/>
      </w:pPr>
      <w:r>
        <w:t xml:space="preserve">Together, we are responsible for </w:t>
      </w:r>
      <w:r w:rsidR="00FC06B2">
        <w:t xml:space="preserve">multi-faceted </w:t>
      </w:r>
      <w:r>
        <w:t xml:space="preserve">public information, </w:t>
      </w:r>
      <w:r w:rsidR="00FC06B2">
        <w:t xml:space="preserve">external and internal </w:t>
      </w:r>
      <w:r>
        <w:t xml:space="preserve">communications and marketing services for 25 major programs in eight divisions, which served 83,500 Oklahomans with disabilities in 2018. Our responsibilities include </w:t>
      </w:r>
      <w:r w:rsidR="00FC06B2">
        <w:t xml:space="preserve">news and new media relations; </w:t>
      </w:r>
      <w:r>
        <w:t>web development</w:t>
      </w:r>
      <w:r w:rsidR="00FC06B2">
        <w:t xml:space="preserve">; social media management; graphic design; </w:t>
      </w:r>
      <w:r>
        <w:t>publications</w:t>
      </w:r>
      <w:r w:rsidR="00FC06B2">
        <w:t>; video, audio and public service production; and special projects.</w:t>
      </w:r>
    </w:p>
    <w:p w:rsidR="009E0562" w:rsidRDefault="009E0562" w:rsidP="005B6B4D"/>
    <w:p w:rsidR="00EC3785" w:rsidRDefault="005B6B4D" w:rsidP="00EC3785">
      <w:pPr>
        <w:rPr>
          <w:rFonts w:cs="Arial"/>
          <w:color w:val="1F497D"/>
        </w:rPr>
      </w:pPr>
      <w:r>
        <w:rPr>
          <w:rFonts w:cs="Arial"/>
        </w:rPr>
        <w:t xml:space="preserve">We are proud to summarize our total workload accomplished at the end of each federal fiscal year. For the complete </w:t>
      </w:r>
      <w:r w:rsidR="00FC06B2">
        <w:rPr>
          <w:rFonts w:cs="Arial"/>
        </w:rPr>
        <w:t xml:space="preserve">2019 </w:t>
      </w:r>
      <w:r>
        <w:rPr>
          <w:rFonts w:cs="Arial"/>
        </w:rPr>
        <w:t xml:space="preserve">report </w:t>
      </w:r>
      <w:r w:rsidR="00750580">
        <w:rPr>
          <w:rFonts w:cs="Arial"/>
        </w:rPr>
        <w:t>listing each project</w:t>
      </w:r>
      <w:r>
        <w:rPr>
          <w:rFonts w:cs="Arial"/>
        </w:rPr>
        <w:t xml:space="preserve">, </w:t>
      </w:r>
      <w:r w:rsidR="00750580">
        <w:rPr>
          <w:rFonts w:cs="Arial"/>
        </w:rPr>
        <w:t xml:space="preserve">visit </w:t>
      </w:r>
      <w:r>
        <w:rPr>
          <w:rFonts w:cs="Arial"/>
        </w:rPr>
        <w:t xml:space="preserve">Communications </w:t>
      </w:r>
      <w:r w:rsidRPr="00EC3785">
        <w:rPr>
          <w:rFonts w:cs="Arial"/>
        </w:rPr>
        <w:t xml:space="preserve">Office web pages on the iDRS web site at </w:t>
      </w:r>
      <w:hyperlink r:id="rId4" w:history="1">
        <w:r w:rsidR="00EC3785" w:rsidRPr="00EC3785">
          <w:rPr>
            <w:rStyle w:val="Hyperlink"/>
            <w:rFonts w:cs="Arial"/>
          </w:rPr>
          <w:t>https://drs.okdrs.gov/supportservices/pio/Documents/projectsfed19.docx</w:t>
        </w:r>
      </w:hyperlink>
      <w:r w:rsidR="00EC3785">
        <w:rPr>
          <w:rFonts w:cs="Arial"/>
          <w:color w:val="1F497D"/>
        </w:rPr>
        <w:t>.</w:t>
      </w:r>
    </w:p>
    <w:p w:rsidR="00925D18" w:rsidRPr="00EC3785" w:rsidRDefault="00925D18" w:rsidP="00EC3785">
      <w:pPr>
        <w:rPr>
          <w:rFonts w:cs="Arial"/>
          <w:color w:val="1F497D"/>
          <w:sz w:val="22"/>
        </w:rPr>
      </w:pPr>
    </w:p>
    <w:p w:rsidR="005B6B4D" w:rsidRDefault="005B6B4D" w:rsidP="005B6B4D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4855"/>
        <w:gridCol w:w="3063"/>
      </w:tblGrid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b/>
                <w:sz w:val="28"/>
                <w:szCs w:val="28"/>
              </w:rPr>
              <w:t>SUMMARY OF PROJECTS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b/>
                <w:sz w:val="28"/>
                <w:szCs w:val="28"/>
              </w:rPr>
              <w:t>QUANTITY PRODUCED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FFY 2019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Media Releases/Publicity/Campaigns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111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Publications/Graphics</w:t>
            </w:r>
          </w:p>
        </w:tc>
        <w:tc>
          <w:tcPr>
            <w:tcW w:w="3063" w:type="dxa"/>
          </w:tcPr>
          <w:p w:rsidR="00FC06B2" w:rsidRPr="00750580" w:rsidRDefault="00F42CE5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118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Oklahoma News Alert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197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Special Projects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68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25D18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Videos/PSAs/Audio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24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Inquiries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1,396</w:t>
            </w:r>
          </w:p>
        </w:tc>
      </w:tr>
      <w:tr w:rsidR="00FC06B2" w:rsidTr="00925D18">
        <w:tc>
          <w:tcPr>
            <w:tcW w:w="4855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Website/Social Media</w:t>
            </w:r>
          </w:p>
        </w:tc>
        <w:tc>
          <w:tcPr>
            <w:tcW w:w="3063" w:type="dxa"/>
          </w:tcPr>
          <w:p w:rsidR="00FC06B2" w:rsidRPr="00750580" w:rsidRDefault="00FC06B2" w:rsidP="00976275">
            <w:pPr>
              <w:tabs>
                <w:tab w:val="left" w:pos="1440"/>
                <w:tab w:val="left" w:pos="5580"/>
              </w:tabs>
              <w:jc w:val="center"/>
              <w:rPr>
                <w:rFonts w:cs="Arial"/>
                <w:sz w:val="28"/>
                <w:szCs w:val="28"/>
              </w:rPr>
            </w:pPr>
            <w:r w:rsidRPr="00750580">
              <w:rPr>
                <w:rFonts w:cs="Arial"/>
                <w:sz w:val="28"/>
                <w:szCs w:val="28"/>
              </w:rPr>
              <w:t>90</w:t>
            </w:r>
          </w:p>
        </w:tc>
      </w:tr>
    </w:tbl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FC06B2" w:rsidRDefault="00FC06B2" w:rsidP="005B6B4D">
      <w:pPr>
        <w:rPr>
          <w:rFonts w:cs="Arial"/>
        </w:rPr>
      </w:pPr>
    </w:p>
    <w:p w:rsidR="00750580" w:rsidRDefault="00750580" w:rsidP="005B6B4D">
      <w:pPr>
        <w:rPr>
          <w:rFonts w:cs="Arial"/>
        </w:rPr>
      </w:pPr>
    </w:p>
    <w:p w:rsidR="00750580" w:rsidRDefault="00750580" w:rsidP="005B6B4D">
      <w:pPr>
        <w:rPr>
          <w:rFonts w:cs="Arial"/>
        </w:rPr>
      </w:pPr>
    </w:p>
    <w:p w:rsidR="005B6B4D" w:rsidRDefault="005B6B4D" w:rsidP="005B6B4D">
      <w:pPr>
        <w:rPr>
          <w:rFonts w:cs="Arial"/>
        </w:rPr>
      </w:pPr>
      <w:r>
        <w:rPr>
          <w:rFonts w:cs="Arial"/>
        </w:rPr>
        <w:t xml:space="preserve">During </w:t>
      </w:r>
      <w:r w:rsidR="00FC06B2">
        <w:rPr>
          <w:rFonts w:cs="Arial"/>
        </w:rPr>
        <w:t>S</w:t>
      </w:r>
      <w:r>
        <w:rPr>
          <w:rFonts w:cs="Arial"/>
        </w:rPr>
        <w:t>tate Fiscal Year 201</w:t>
      </w:r>
      <w:r w:rsidR="00FC06B2">
        <w:rPr>
          <w:rFonts w:cs="Arial"/>
        </w:rPr>
        <w:t>9</w:t>
      </w:r>
      <w:r>
        <w:rPr>
          <w:rFonts w:cs="Arial"/>
        </w:rPr>
        <w:t xml:space="preserve">, </w:t>
      </w:r>
      <w:r w:rsidR="00FC06B2">
        <w:rPr>
          <w:rFonts w:cs="Arial"/>
        </w:rPr>
        <w:t xml:space="preserve">Communications </w:t>
      </w:r>
      <w:r w:rsidR="00925D18">
        <w:rPr>
          <w:rFonts w:cs="Arial"/>
        </w:rPr>
        <w:t xml:space="preserve">negotiated </w:t>
      </w:r>
      <w:r w:rsidR="00FC06B2">
        <w:rPr>
          <w:rFonts w:cs="Arial"/>
        </w:rPr>
        <w:t>arrangement</w:t>
      </w:r>
      <w:r w:rsidR="00925D18">
        <w:rPr>
          <w:rFonts w:cs="Arial"/>
        </w:rPr>
        <w:t>s</w:t>
      </w:r>
      <w:r w:rsidR="00FC06B2">
        <w:rPr>
          <w:rFonts w:cs="Arial"/>
        </w:rPr>
        <w:t xml:space="preserve"> for </w:t>
      </w:r>
      <w:r>
        <w:rPr>
          <w:rFonts w:cs="Arial"/>
        </w:rPr>
        <w:t xml:space="preserve">20 </w:t>
      </w:r>
      <w:r w:rsidRPr="007B4126">
        <w:rPr>
          <w:rFonts w:cs="Arial"/>
        </w:rPr>
        <w:t xml:space="preserve">TV and 100 radio stations </w:t>
      </w:r>
      <w:r w:rsidR="00FC06B2">
        <w:rPr>
          <w:rFonts w:cs="Arial"/>
        </w:rPr>
        <w:t xml:space="preserve">to broadcast DRS public service announcements </w:t>
      </w:r>
      <w:r>
        <w:rPr>
          <w:rFonts w:cs="Arial"/>
        </w:rPr>
        <w:t>valued at $</w:t>
      </w:r>
      <w:r w:rsidR="00FC06B2">
        <w:rPr>
          <w:rFonts w:cs="Arial"/>
        </w:rPr>
        <w:t>903,463</w:t>
      </w:r>
      <w:r>
        <w:rPr>
          <w:rFonts w:cs="Arial"/>
        </w:rPr>
        <w:t xml:space="preserve"> through a partnership with the Oklahoma Association of Broadcasters. </w:t>
      </w:r>
      <w:r w:rsidR="00FC06B2">
        <w:rPr>
          <w:rFonts w:cs="Arial"/>
        </w:rPr>
        <w:t xml:space="preserve">Since </w:t>
      </w:r>
      <w:r w:rsidR="00925D18">
        <w:rPr>
          <w:rFonts w:cs="Arial"/>
        </w:rPr>
        <w:t xml:space="preserve">Jody Harlan established </w:t>
      </w:r>
      <w:r w:rsidR="00FC06B2">
        <w:rPr>
          <w:rFonts w:cs="Arial"/>
        </w:rPr>
        <w:lastRenderedPageBreak/>
        <w:t xml:space="preserve">the partnership began in 2002, OAB stations have broadcast DRS PSAs valued at more than $22.6 million. DRS </w:t>
      </w:r>
      <w:r w:rsidRPr="007B4126">
        <w:rPr>
          <w:rFonts w:cs="Arial"/>
        </w:rPr>
        <w:t xml:space="preserve">PSAs </w:t>
      </w:r>
      <w:r w:rsidR="00FC06B2">
        <w:rPr>
          <w:rFonts w:cs="Arial"/>
        </w:rPr>
        <w:t xml:space="preserve">are posted </w:t>
      </w:r>
      <w:r>
        <w:rPr>
          <w:rFonts w:cs="Arial"/>
        </w:rPr>
        <w:t xml:space="preserve">at </w:t>
      </w:r>
      <w:hyperlink r:id="rId5" w:history="1">
        <w:r w:rsidRPr="007B4126">
          <w:rPr>
            <w:rStyle w:val="Hyperlink"/>
            <w:rFonts w:cs="Arial"/>
          </w:rPr>
          <w:t>http://www.okdrs.gov/psa/home</w:t>
        </w:r>
      </w:hyperlink>
      <w:r>
        <w:rPr>
          <w:rFonts w:cs="Arial"/>
        </w:rPr>
        <w:t>.</w:t>
      </w:r>
    </w:p>
    <w:p w:rsidR="005B6B4D" w:rsidRDefault="005B6B4D" w:rsidP="005B6B4D">
      <w:pPr>
        <w:rPr>
          <w:rFonts w:cs="Arial"/>
        </w:rPr>
      </w:pPr>
    </w:p>
    <w:p w:rsidR="005B6B4D" w:rsidRDefault="005B6B4D" w:rsidP="005B6B4D">
      <w:pPr>
        <w:rPr>
          <w:rFonts w:cs="Arial"/>
        </w:rPr>
      </w:pPr>
      <w:r>
        <w:rPr>
          <w:rFonts w:cs="Arial"/>
        </w:rPr>
        <w:t xml:space="preserve">For more information about </w:t>
      </w:r>
      <w:r w:rsidR="00FC06B2">
        <w:rPr>
          <w:rFonts w:cs="Arial"/>
        </w:rPr>
        <w:t xml:space="preserve">Communications Team services, </w:t>
      </w:r>
      <w:r>
        <w:rPr>
          <w:rFonts w:cs="Arial"/>
        </w:rPr>
        <w:t xml:space="preserve">visit </w:t>
      </w:r>
      <w:hyperlink r:id="rId6" w:history="1">
        <w:r w:rsidRPr="0051699C">
          <w:rPr>
            <w:rStyle w:val="Hyperlink"/>
            <w:rFonts w:cs="Arial"/>
          </w:rPr>
          <w:t>http://www.okdrs.org/communications/home</w:t>
        </w:r>
      </w:hyperlink>
      <w:r>
        <w:rPr>
          <w:rFonts w:cs="Arial"/>
        </w:rPr>
        <w:t>.</w:t>
      </w:r>
    </w:p>
    <w:p w:rsidR="005B6B4D" w:rsidRDefault="005B6B4D"/>
    <w:sectPr w:rsidR="005B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4D"/>
    <w:rsid w:val="00191661"/>
    <w:rsid w:val="001B3EC2"/>
    <w:rsid w:val="005B6B4D"/>
    <w:rsid w:val="00750580"/>
    <w:rsid w:val="007A75D6"/>
    <w:rsid w:val="00925D18"/>
    <w:rsid w:val="009E0562"/>
    <w:rsid w:val="009E05F5"/>
    <w:rsid w:val="00EC3785"/>
    <w:rsid w:val="00F42CE5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A75F3-692C-4125-BA15-4080838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B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drs.org/communications/home" TargetMode="External"/><Relationship Id="rId5" Type="http://schemas.openxmlformats.org/officeDocument/2006/relationships/hyperlink" Target="http://www.okdrs.gov/psa/home" TargetMode="External"/><Relationship Id="rId4" Type="http://schemas.openxmlformats.org/officeDocument/2006/relationships/hyperlink" Target="https://drs.okdrs.gov/supportservices/pio/Documents/projectsfed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Harlan</dc:creator>
  <cp:keywords/>
  <dc:description/>
  <cp:lastModifiedBy>Carol A. Brown</cp:lastModifiedBy>
  <cp:revision>2</cp:revision>
  <cp:lastPrinted>2019-10-08T16:50:00Z</cp:lastPrinted>
  <dcterms:created xsi:type="dcterms:W3CDTF">2019-10-08T16:51:00Z</dcterms:created>
  <dcterms:modified xsi:type="dcterms:W3CDTF">2019-10-08T16:51:00Z</dcterms:modified>
</cp:coreProperties>
</file>